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C5" w:rsidRDefault="007B07C5" w:rsidP="007B07C5">
      <w:pPr>
        <w:pStyle w:val="ConsPlusNormal"/>
        <w:jc w:val="right"/>
        <w:outlineLvl w:val="0"/>
      </w:pPr>
      <w:r>
        <w:t>Приложение N 10</w:t>
      </w:r>
    </w:p>
    <w:p w:rsidR="007B07C5" w:rsidRDefault="007B07C5" w:rsidP="007B07C5">
      <w:pPr>
        <w:pStyle w:val="ConsPlusNormal"/>
        <w:jc w:val="right"/>
      </w:pPr>
      <w:r>
        <w:t>к Решению Коллегии</w:t>
      </w:r>
    </w:p>
    <w:p w:rsidR="007B07C5" w:rsidRDefault="007B07C5" w:rsidP="007B07C5">
      <w:pPr>
        <w:pStyle w:val="ConsPlusNormal"/>
        <w:jc w:val="right"/>
      </w:pPr>
      <w:r>
        <w:t>Евразийской экономической комиссии</w:t>
      </w:r>
    </w:p>
    <w:p w:rsidR="007B07C5" w:rsidRDefault="007B07C5" w:rsidP="007B07C5">
      <w:pPr>
        <w:pStyle w:val="ConsPlusNormal"/>
        <w:jc w:val="right"/>
      </w:pPr>
      <w:r>
        <w:t>от 21 апреля 2015 г. N 30</w:t>
      </w:r>
    </w:p>
    <w:p w:rsidR="007B07C5" w:rsidRDefault="007B07C5" w:rsidP="007B07C5">
      <w:pPr>
        <w:pStyle w:val="ConsPlusNormal"/>
        <w:jc w:val="both"/>
      </w:pPr>
    </w:p>
    <w:p w:rsidR="007B07C5" w:rsidRDefault="007B07C5" w:rsidP="007B07C5">
      <w:pPr>
        <w:pStyle w:val="ConsPlusNormal"/>
        <w:jc w:val="center"/>
      </w:pPr>
      <w:bookmarkStart w:id="0" w:name="P21547"/>
      <w:bookmarkEnd w:id="0"/>
      <w:r>
        <w:t>ПОЛОЖЕНИЕ</w:t>
      </w:r>
    </w:p>
    <w:p w:rsidR="007B07C5" w:rsidRDefault="007B07C5" w:rsidP="007B07C5">
      <w:pPr>
        <w:pStyle w:val="ConsPlusNormal"/>
        <w:jc w:val="center"/>
      </w:pPr>
      <w:r>
        <w:t xml:space="preserve">О ВВОЗЕ НА ТАМОЖЕННУЮ ТЕРРИТОРИЮ </w:t>
      </w:r>
      <w:proofErr w:type="gramStart"/>
      <w:r>
        <w:t>ЕВРАЗИЙСКОГО</w:t>
      </w:r>
      <w:proofErr w:type="gramEnd"/>
    </w:p>
    <w:p w:rsidR="007B07C5" w:rsidRDefault="007B07C5" w:rsidP="007B07C5">
      <w:pPr>
        <w:pStyle w:val="ConsPlusNormal"/>
        <w:jc w:val="center"/>
      </w:pPr>
      <w:r>
        <w:t xml:space="preserve">ЭКОНОМИЧЕСКОГО СОЮЗА И </w:t>
      </w:r>
      <w:proofErr w:type="gramStart"/>
      <w:r>
        <w:t>ВЫВОЗЕ</w:t>
      </w:r>
      <w:proofErr w:type="gramEnd"/>
      <w:r>
        <w:t xml:space="preserve"> С ТАМОЖЕННОЙ ТЕРРИТОРИИ</w:t>
      </w:r>
    </w:p>
    <w:p w:rsidR="007B07C5" w:rsidRDefault="007B07C5" w:rsidP="007B07C5">
      <w:pPr>
        <w:pStyle w:val="ConsPlusNormal"/>
        <w:jc w:val="center"/>
      </w:pPr>
      <w:r>
        <w:t>ЕВРАЗИЙСКОГО ЭКОНОМИЧЕСКОГО СОЮЗА НАРКОТИЧЕСКИХ СРЕДСТВ,</w:t>
      </w:r>
    </w:p>
    <w:p w:rsidR="007B07C5" w:rsidRDefault="007B07C5" w:rsidP="007B07C5">
      <w:pPr>
        <w:pStyle w:val="ConsPlusNormal"/>
        <w:jc w:val="center"/>
      </w:pPr>
      <w:r>
        <w:t>ПСИХОТРОПНЫХ ВЕЩЕСТВ И ИХ ПРЕКУРСОРОВ</w:t>
      </w:r>
    </w:p>
    <w:p w:rsidR="007B07C5" w:rsidRDefault="007B07C5" w:rsidP="007B07C5">
      <w:pPr>
        <w:pStyle w:val="ConsPlusNormal"/>
        <w:jc w:val="both"/>
      </w:pPr>
    </w:p>
    <w:p w:rsidR="007B07C5" w:rsidRDefault="007B07C5" w:rsidP="007B07C5">
      <w:pPr>
        <w:pStyle w:val="ConsPlusNormal"/>
        <w:jc w:val="center"/>
        <w:outlineLvl w:val="1"/>
      </w:pPr>
      <w:r>
        <w:t>I. Общие положения</w:t>
      </w:r>
    </w:p>
    <w:p w:rsidR="007B07C5" w:rsidRDefault="007B07C5" w:rsidP="007B07C5">
      <w:pPr>
        <w:pStyle w:val="ConsPlusNormal"/>
        <w:jc w:val="both"/>
      </w:pPr>
    </w:p>
    <w:p w:rsidR="007B07C5" w:rsidRDefault="007B07C5" w:rsidP="007B07C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ввоза на таможенную территорию Евразийского экономического союза (далее - ввоз) и вывоза с таможенной территории Евразийского экономического союза (далее соответственно - вывоз, Союз)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включенных в </w:t>
      </w:r>
      <w:hyperlink w:anchor="P17266" w:history="1">
        <w:r>
          <w:rPr>
            <w:color w:val="0000FF"/>
          </w:rPr>
          <w:t>раздел 2.12</w:t>
        </w:r>
      </w:hyperlink>
      <w:r>
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</w:r>
      <w:hyperlink r:id="rId5" w:history="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</w:t>
      </w:r>
      <w:proofErr w:type="gramEnd"/>
      <w:r>
        <w:t xml:space="preserve"> (приложение N 7 к Договору о Евразийском экономическом союзе от 29 мая 2014 года) (далее -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>).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2. Понятия, используемые в настоящем Положении, применяются в значениях, определенных </w:t>
      </w:r>
      <w:hyperlink r:id="rId6" w:history="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 и международными договорами, входящими </w:t>
      </w:r>
      <w:proofErr w:type="gramStart"/>
      <w:r>
        <w:t>в право</w:t>
      </w:r>
      <w:proofErr w:type="gramEnd"/>
      <w:r>
        <w:t xml:space="preserve"> Союза.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Ввоз и (или) вывоз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осуществляются при наличии лицензии, оформленной в соответствии с </w:t>
      </w:r>
      <w:hyperlink r:id="rId7" w:history="1">
        <w:r>
          <w:rPr>
            <w:color w:val="0000FF"/>
          </w:rPr>
          <w:t>Инструкцией</w:t>
        </w:r>
      </w:hyperlink>
      <w:r>
        <w:t xml:space="preserve">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N 199 (далее - лицензия), за исключением ввоза и (или) вывоза</w:t>
      </w:r>
      <w:proofErr w:type="gramEnd"/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в соответствии с </w:t>
      </w:r>
      <w:hyperlink w:anchor="P21563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4. Лицензия представляется таможенному органу государства - члена Союза (далее - государство-член) при прибытии на таможенную территорию Союза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.</w:t>
      </w:r>
    </w:p>
    <w:p w:rsidR="007B07C5" w:rsidRDefault="007B07C5" w:rsidP="007B07C5">
      <w:pPr>
        <w:pStyle w:val="ConsPlusNormal"/>
        <w:jc w:val="both"/>
      </w:pPr>
    </w:p>
    <w:p w:rsidR="007B07C5" w:rsidRDefault="007B07C5" w:rsidP="007B07C5">
      <w:pPr>
        <w:pStyle w:val="ConsPlusNormal"/>
        <w:jc w:val="center"/>
        <w:outlineLvl w:val="1"/>
      </w:pPr>
      <w:r>
        <w:t>II. Помещение под таможенные процедуры</w:t>
      </w:r>
    </w:p>
    <w:p w:rsidR="007B07C5" w:rsidRDefault="007B07C5" w:rsidP="007B07C5">
      <w:pPr>
        <w:pStyle w:val="ConsPlusNormal"/>
        <w:jc w:val="both"/>
      </w:pPr>
    </w:p>
    <w:p w:rsidR="007B07C5" w:rsidRDefault="007B07C5" w:rsidP="007B07C5">
      <w:pPr>
        <w:pStyle w:val="ConsPlusNormal"/>
        <w:ind w:firstLine="540"/>
        <w:jc w:val="both"/>
      </w:pPr>
      <w:bookmarkStart w:id="1" w:name="P21562"/>
      <w:bookmarkEnd w:id="1"/>
      <w:r>
        <w:t xml:space="preserve">5. Помещение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под таможенные процедуры выпуска для внутреннего потребления и экспорта осуществляется при представлении таможенному органу государства-члена лицензии.</w:t>
      </w:r>
    </w:p>
    <w:p w:rsidR="007B07C5" w:rsidRDefault="007B07C5" w:rsidP="007B07C5">
      <w:pPr>
        <w:pStyle w:val="ConsPlusNormal"/>
        <w:ind w:firstLine="540"/>
        <w:jc w:val="both"/>
      </w:pPr>
      <w:bookmarkStart w:id="2" w:name="P21563"/>
      <w:bookmarkEnd w:id="2"/>
      <w:r>
        <w:t>6. Представление таможенному органу государства-члена лицензии не требуется в следующих случаях:</w:t>
      </w:r>
    </w:p>
    <w:p w:rsidR="007B07C5" w:rsidRDefault="007B07C5" w:rsidP="007B07C5">
      <w:pPr>
        <w:pStyle w:val="ConsPlusNormal"/>
        <w:ind w:firstLine="540"/>
        <w:jc w:val="both"/>
      </w:pPr>
      <w:proofErr w:type="gramStart"/>
      <w:r>
        <w:t xml:space="preserve">а) ввоз и (или) вывоз физическими лицами ограниченного количества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товара, а также </w:t>
      </w:r>
      <w:proofErr w:type="spellStart"/>
      <w:r>
        <w:t>прекурсоров</w:t>
      </w:r>
      <w:proofErr w:type="spellEnd"/>
      <w:r>
        <w:t xml:space="preserve"> в качестве товаров для личного пользования в объемах, определенных законодательством государств-членов.</w:t>
      </w:r>
      <w:proofErr w:type="gramEnd"/>
    </w:p>
    <w:p w:rsidR="007B07C5" w:rsidRDefault="007B07C5" w:rsidP="007B07C5">
      <w:pPr>
        <w:pStyle w:val="ConsPlusNormal"/>
        <w:ind w:firstLine="540"/>
        <w:jc w:val="both"/>
      </w:pPr>
      <w:r>
        <w:t>Подтверждающие медицинские документы (их заверенные копии) составляются на языке государства-члена, на территорию которого осуществляется ввоз указанных лекарственных средств, либо прилагается их нотариально заверенный перевод на язык указанного государства-члена, в случае если иное не установлено законодательством государства-члена;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б) ввоз и (или) вывоз в соответствии с законодательством государства-члена наркотических </w:t>
      </w:r>
      <w:r>
        <w:lastRenderedPageBreak/>
        <w:t xml:space="preserve">средств, психотропных веществ и их </w:t>
      </w:r>
      <w:proofErr w:type="spellStart"/>
      <w:r>
        <w:t>прекурсоров</w:t>
      </w:r>
      <w:proofErr w:type="spellEnd"/>
      <w:r>
        <w:t>, предназначенных для оказания неотложной помощи при чрезвычайных ситуациях;</w:t>
      </w:r>
    </w:p>
    <w:p w:rsidR="007B07C5" w:rsidRDefault="007B07C5" w:rsidP="007B07C5">
      <w:pPr>
        <w:pStyle w:val="ConsPlusNormal"/>
        <w:ind w:firstLine="540"/>
        <w:jc w:val="both"/>
      </w:pPr>
      <w:r>
        <w:t>в) нахождения в аптечках первой помощи на транспортном средстве в ограниченном количестве, определенном законодательством государства регистрации таких транспортных средств: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на морских (речных) судах и воздушных судах международного сообщения;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психотропных веществ и </w:t>
      </w:r>
      <w:proofErr w:type="spellStart"/>
      <w:r>
        <w:t>прекурсоров</w:t>
      </w:r>
      <w:proofErr w:type="spellEnd"/>
      <w:r>
        <w:t xml:space="preserve"> на железнодорожном и автомобильном транспорте международного сообщения;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г) ввоз и (или) вывоз </w:t>
      </w:r>
      <w:proofErr w:type="spellStart"/>
      <w:r>
        <w:t>прекурсоров</w:t>
      </w:r>
      <w:proofErr w:type="spellEnd"/>
      <w:r>
        <w:t>, используемых в качестве припасов, в количестве, необходимом для обеспечения нормальной эксплуатации оборудования и технических устройств воздушного, морского (речного), железнодорожного транспортного средства.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Помещение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государства-экспортера на вывоз конкретной партии наркотических средств, психотропных веществ и их </w:t>
      </w:r>
      <w:proofErr w:type="spellStart"/>
      <w:r>
        <w:t>прекурсоров</w:t>
      </w:r>
      <w:proofErr w:type="spellEnd"/>
      <w:proofErr w:type="gramEnd"/>
      <w:r>
        <w:t xml:space="preserve"> либо официального уведомления этого органа о том, что указанное разрешение не требуется.</w:t>
      </w:r>
    </w:p>
    <w:p w:rsidR="007B07C5" w:rsidRDefault="007B07C5" w:rsidP="007B07C5">
      <w:pPr>
        <w:pStyle w:val="ConsPlusNormal"/>
        <w:ind w:firstLine="540"/>
        <w:jc w:val="both"/>
      </w:pPr>
      <w:r>
        <w:t>Копия разрешения компетентного органа государства-экспортера должна быть заверена (легализована) в порядке, установленном законодательством государства-экспортера.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Помещение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органа,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лицензии, указанной в </w:t>
      </w:r>
      <w:hyperlink w:anchor="P21562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  <w:proofErr w:type="gramEnd"/>
    </w:p>
    <w:p w:rsidR="007B07C5" w:rsidRDefault="007B07C5" w:rsidP="007B07C5">
      <w:pPr>
        <w:pStyle w:val="ConsPlusNormal"/>
        <w:ind w:firstLine="540"/>
        <w:jc w:val="both"/>
      </w:pPr>
      <w:r>
        <w:t xml:space="preserve">9. Помещение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под таможенные процедуры таможенного склада, переработки на таможенной территории, переработки вне таможенной территории, переработки для внутреннего потребления, временного ввоза (допуска), временного вывоза, беспошлинной торговли, уничтожения, отказа в пользу государства, свободной таможенной зоны, свободного склада, реимпорта и реэкспорта не допускается.</w:t>
      </w:r>
    </w:p>
    <w:p w:rsidR="007B07C5" w:rsidRDefault="007B07C5" w:rsidP="007B07C5">
      <w:pPr>
        <w:pStyle w:val="ConsPlusNormal"/>
        <w:jc w:val="both"/>
      </w:pPr>
    </w:p>
    <w:p w:rsidR="007B07C5" w:rsidRDefault="007B07C5" w:rsidP="007B07C5">
      <w:pPr>
        <w:pStyle w:val="ConsPlusNormal"/>
        <w:jc w:val="center"/>
        <w:outlineLvl w:val="1"/>
      </w:pPr>
      <w:r>
        <w:t>III. Выдача лицензии</w:t>
      </w:r>
    </w:p>
    <w:p w:rsidR="007B07C5" w:rsidRDefault="007B07C5" w:rsidP="007B07C5">
      <w:pPr>
        <w:pStyle w:val="ConsPlusNormal"/>
        <w:jc w:val="both"/>
      </w:pPr>
    </w:p>
    <w:p w:rsidR="007B07C5" w:rsidRDefault="007B07C5" w:rsidP="007B07C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Для оформления лицензии юридические лица (далее - заявители) представляют в уполномоченный орган государства-члена, на территории которого зарегистрирован заявитель, документы и сведения, предусмотренные </w:t>
      </w:r>
      <w:hyperlink r:id="rId8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9" w:history="1">
        <w:r>
          <w:rPr>
            <w:color w:val="0000FF"/>
          </w:rPr>
          <w:t>5 пункта 10</w:t>
        </w:r>
      </w:hyperlink>
      <w:r>
        <w:t xml:space="preserve">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(далее - Правила).</w:t>
      </w:r>
      <w:proofErr w:type="gramEnd"/>
    </w:p>
    <w:p w:rsidR="007B07C5" w:rsidRDefault="007B07C5" w:rsidP="007B07C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подпунктом 6 пункта 10</w:t>
        </w:r>
      </w:hyperlink>
      <w:r>
        <w:t xml:space="preserve"> Правил для оформления лицензии на экспорт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заявители представляют разрешение на ввоз конкретной партии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(оригинал или его нотариально заверенную копию), выданное компетентным органом государства-импортера, либо официальное уведомление этого органа о том, что указанное разрешение не требуется.</w:t>
      </w:r>
      <w:proofErr w:type="gramEnd"/>
    </w:p>
    <w:p w:rsidR="007B07C5" w:rsidRDefault="007B07C5" w:rsidP="007B07C5">
      <w:pPr>
        <w:pStyle w:val="ConsPlusNormal"/>
        <w:ind w:firstLine="540"/>
        <w:jc w:val="both"/>
      </w:pPr>
      <w:r>
        <w:t xml:space="preserve">11. Копии документов, представляемые заявителем, должны быть заверены в порядке, установленном </w:t>
      </w:r>
      <w:hyperlink r:id="rId11" w:history="1">
        <w:r>
          <w:rPr>
            <w:color w:val="0000FF"/>
          </w:rPr>
          <w:t>пунктом 11</w:t>
        </w:r>
      </w:hyperlink>
      <w:r>
        <w:t xml:space="preserve"> Правил.</w:t>
      </w:r>
    </w:p>
    <w:p w:rsidR="007B07C5" w:rsidRDefault="007B07C5" w:rsidP="007B07C5">
      <w:pPr>
        <w:pStyle w:val="ConsPlusNormal"/>
        <w:ind w:firstLine="540"/>
        <w:jc w:val="both"/>
      </w:pPr>
      <w:r>
        <w:t>12.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этого государства-члена (далее - согласующий орган), то такое согласование осуществляется в порядке, предусмотренном законодательством этого государства-члена.</w:t>
      </w:r>
    </w:p>
    <w:p w:rsidR="007B07C5" w:rsidRDefault="007B07C5" w:rsidP="007B07C5">
      <w:pPr>
        <w:pStyle w:val="ConsPlusNormal"/>
        <w:ind w:firstLine="540"/>
        <w:jc w:val="both"/>
      </w:pPr>
      <w:r>
        <w:lastRenderedPageBreak/>
        <w:t>Согласование может осуществляться посредством выдачи заключения (разрешительного документа).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13. Указанное в лицензии на вывоз количество наркотических средств, находящихся под международным контролем в соответствии с Единой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 наркотических средствах 1961 года,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ввоза.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Указанное в лицензии на вывоз количество психотропных веществ, находящихся под международным контролем в соответствии с Конвенцией о психотропных веществах 1971 года,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веществах, включенных в </w:t>
      </w:r>
      <w:hyperlink r:id="rId13" w:history="1">
        <w:r>
          <w:rPr>
            <w:color w:val="0000FF"/>
          </w:rPr>
          <w:t>Списки II</w:t>
        </w:r>
      </w:hyperlink>
      <w:r>
        <w:t xml:space="preserve"> - </w:t>
      </w:r>
      <w:hyperlink r:id="rId14" w:history="1">
        <w:r>
          <w:rPr>
            <w:color w:val="0000FF"/>
          </w:rPr>
          <w:t>IV</w:t>
        </w:r>
      </w:hyperlink>
      <w:r>
        <w:t xml:space="preserve"> указанной Конвенции для страны ввоза.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14. В выдаче лицензии отказывается при наличии оснований, предусмотренных </w:t>
      </w:r>
      <w:hyperlink r:id="rId15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6" w:history="1">
        <w:r>
          <w:rPr>
            <w:color w:val="0000FF"/>
          </w:rPr>
          <w:t>5 пункта 14</w:t>
        </w:r>
      </w:hyperlink>
      <w:r>
        <w:t xml:space="preserve"> Правил, а также в соответствии с </w:t>
      </w:r>
      <w:hyperlink r:id="rId17" w:history="1">
        <w:r>
          <w:rPr>
            <w:color w:val="0000FF"/>
          </w:rPr>
          <w:t>подпунктом 6 пункта 14</w:t>
        </w:r>
      </w:hyperlink>
      <w:r>
        <w:t xml:space="preserve"> Правил - в случае отказа согласующего органа в согласовании заявления на выдачу лицензии.</w:t>
      </w:r>
    </w:p>
    <w:p w:rsidR="007B07C5" w:rsidRDefault="007B07C5" w:rsidP="007B07C5">
      <w:pPr>
        <w:pStyle w:val="ConsPlusNormal"/>
        <w:ind w:firstLine="540"/>
        <w:jc w:val="both"/>
      </w:pPr>
      <w:r>
        <w:t xml:space="preserve">15. Заявители, получившие лицензию, отчитываются в уполномоченный орган государства-члена об исполнении лицензии в соответствии с </w:t>
      </w:r>
      <w:hyperlink r:id="rId18" w:history="1">
        <w:r>
          <w:rPr>
            <w:color w:val="0000FF"/>
          </w:rPr>
          <w:t>пунктом 22</w:t>
        </w:r>
      </w:hyperlink>
      <w:r>
        <w:t xml:space="preserve"> Правил.</w:t>
      </w:r>
    </w:p>
    <w:p w:rsidR="00852DA4" w:rsidRDefault="00852DA4">
      <w:bookmarkStart w:id="3" w:name="_GoBack"/>
      <w:bookmarkEnd w:id="3"/>
    </w:p>
    <w:sectPr w:rsidR="0085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18"/>
    <w:rsid w:val="007B07C5"/>
    <w:rsid w:val="00852DA4"/>
    <w:rsid w:val="00C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2E000CB3EDB9FCB2F76B8E625C8A9F5EFF43CB44FE8EF49A6661F8B52671574CFD0526833F7DEK141H" TargetMode="External"/><Relationship Id="rId13" Type="http://schemas.openxmlformats.org/officeDocument/2006/relationships/hyperlink" Target="consultantplus://offline/ref=8882E000CB3EDB9FCB2F76B8E625C8A9F6ECF238B04FE8EF49A6661F8B52671574CFD0526831F3DDK14BH" TargetMode="External"/><Relationship Id="rId18" Type="http://schemas.openxmlformats.org/officeDocument/2006/relationships/hyperlink" Target="consultantplus://offline/ref=8882E000CB3EDB9FCB2F76B8E625C8A9F5EFF43CB44FE8EF49A6661F8B52671574CFD0526833F7DAK14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82E000CB3EDB9FCB2F76B8E625C8A9F6E6F03FB043E8EF49A6661F8B52671574CFD0526831F5DDK140H" TargetMode="External"/><Relationship Id="rId12" Type="http://schemas.openxmlformats.org/officeDocument/2006/relationships/hyperlink" Target="consultantplus://offline/ref=8882E000CB3EDB9FCB2F76B8E625C8A9F6ECF238B04FE8EF49A6661F8BK542H" TargetMode="External"/><Relationship Id="rId17" Type="http://schemas.openxmlformats.org/officeDocument/2006/relationships/hyperlink" Target="consultantplus://offline/ref=8882E000CB3EDB9FCB2F76B8E625C8A9F5EFF43CB44FE8EF49A6661F8B52671574CFD0526833F7D8K14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82E000CB3EDB9FCB2F76B8E625C8A9F5EFF43CB44FE8EF49A6661F8B52671574CFD0526833F7DFK14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2E000CB3EDB9FCB2F76B8E625C8A9F5EFF43CB44FE8EF49A6661F8B52671574CFD0526833F5D9K147H" TargetMode="External"/><Relationship Id="rId11" Type="http://schemas.openxmlformats.org/officeDocument/2006/relationships/hyperlink" Target="consultantplus://offline/ref=8882E000CB3EDB9FCB2F76B8E625C8A9F5EFF43CB44FE8EF49A6661F8B52671574CFD0526833F7DEK14BH" TargetMode="External"/><Relationship Id="rId5" Type="http://schemas.openxmlformats.org/officeDocument/2006/relationships/hyperlink" Target="consultantplus://offline/ref=8882E000CB3EDB9FCB2F76B8E625C8A9F5EFF43CB44FE8EF49A6661F8B52671574CFD0526833F5D9K147H" TargetMode="External"/><Relationship Id="rId15" Type="http://schemas.openxmlformats.org/officeDocument/2006/relationships/hyperlink" Target="consultantplus://offline/ref=8882E000CB3EDB9FCB2F76B8E625C8A9F5EFF43CB44FE8EF49A6661F8B52671574CFD0526833F7DFK146H" TargetMode="External"/><Relationship Id="rId10" Type="http://schemas.openxmlformats.org/officeDocument/2006/relationships/hyperlink" Target="consultantplus://offline/ref=8882E000CB3EDB9FCB2F76B8E625C8A9F5EFF43CB44FE8EF49A6661F8B52671574CFD0526833F7DEK14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2E000CB3EDB9FCB2F76B8E625C8A9F5EFF43CB44FE8EF49A6661F8B52671574CFD0526833F7DEK145H" TargetMode="External"/><Relationship Id="rId14" Type="http://schemas.openxmlformats.org/officeDocument/2006/relationships/hyperlink" Target="consultantplus://offline/ref=8882E000CB3EDB9FCB2F76B8E625C8A9F6ECF238B04FE8EF49A6661F8B52671574CFD0526831F3D8K1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Алексей Алексеевич</dc:creator>
  <cp:keywords/>
  <dc:description/>
  <cp:lastModifiedBy>Воробьев Алексей Алексеевич</cp:lastModifiedBy>
  <cp:revision>2</cp:revision>
  <dcterms:created xsi:type="dcterms:W3CDTF">2017-05-24T08:01:00Z</dcterms:created>
  <dcterms:modified xsi:type="dcterms:W3CDTF">2017-05-24T08:01:00Z</dcterms:modified>
</cp:coreProperties>
</file>